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 w:before="0" w:after="40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ПОЛИТИКА ОБРАБОТКИ ПЕРСОНАЛЬНЫХ ДАННЫХ</w:t>
      </w:r>
    </w:p>
    <w:p>
      <w:pPr>
        <w:spacing w:line="240" w:lineRule="auto" w:before="0" w:after="120"/>
        <w:jc w:val="center"/>
      </w:pPr>
      <w:r>
        <w:rPr>
          <w:rFonts w:ascii="Times New Roman" w:hAnsi="Times New Roman" w:eastAsia="Times New Roman"/>
          <w:b w:val="0"/>
          <w:i w:val="0"/>
          <w:sz w:val="20"/>
        </w:rPr>
        <w:t>редакция от 04 апреля 2026 года</w:t>
      </w:r>
    </w:p>
    <w:p>
      <w:pPr>
        <w:spacing w:line="240" w:lineRule="auto" w:before="0" w:after="20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Оператор: </w:t>
      </w:r>
      <w:r>
        <w:rPr>
          <w:rFonts w:ascii="Times New Roman" w:hAnsi="Times New Roman" w:eastAsia="Times New Roman"/>
          <w:b w:val="0"/>
          <w:i w:val="0"/>
          <w:sz w:val="22"/>
        </w:rPr>
        <w:t>Индивидуальный предприниматель Семыкин Виталий Александрович, ОГРНИП 321463200020062, ИНН 463404749424.</w:t>
      </w:r>
    </w:p>
    <w:p>
      <w:pPr>
        <w:spacing w:line="240" w:lineRule="auto" w:before="0" w:after="20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>Сайт Оператора: 3-pl.ru, а также иные домены и страницы Оператора, на которых размещена настоящая Политика.</w:t>
      </w:r>
      <w:r>
        <w:rPr>
          <w:rFonts w:ascii="Times New Roman" w:hAnsi="Times New Roman" w:eastAsia="Times New Roman"/>
          <w:b w:val="0"/>
          <w:i w:val="0"/>
          <w:sz w:val="22"/>
        </w:rPr>
      </w:r>
    </w:p>
    <w:p>
      <w:pPr>
        <w:spacing w:line="240" w:lineRule="auto" w:before="0" w:after="20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Контакты по вопросам персональных данных: </w:t>
      </w:r>
      <w:r>
        <w:rPr>
          <w:rFonts w:ascii="Times New Roman" w:hAnsi="Times New Roman" w:eastAsia="Times New Roman"/>
          <w:b w:val="0"/>
          <w:i w:val="0"/>
          <w:sz w:val="22"/>
        </w:rPr>
        <w:t>order@3-pl.ru, +7 995 905-66-59.</w:t>
      </w:r>
    </w:p>
    <w:p>
      <w:pPr>
        <w:spacing w:line="240" w:lineRule="auto" w:before="120" w:after="40"/>
        <w:jc w:val="left"/>
      </w:pPr>
      <w:r>
        <w:rPr>
          <w:rFonts w:ascii="Times New Roman" w:hAnsi="Times New Roman" w:eastAsia="Times New Roman"/>
          <w:b/>
          <w:i w:val="0"/>
          <w:sz w:val="24"/>
        </w:rPr>
        <w:t>1. Общие положения</w:t>
      </w:r>
    </w:p>
    <w:p>
      <w:pPr>
        <w:spacing w:line="240" w:lineRule="auto" w:before="0" w:after="20"/>
        <w:ind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1. Настоящая Политика определяет порядок обработки и защиты персональных данных Оператором при использовании сайта, мессенджеров, электронной почты, форм обратной связи, расчета услуг, заявок, Шаблонов приемки, Технических заданий и иных каналов взаимодействия с Оператором.</w:t>
      </w:r>
    </w:p>
    <w:p>
      <w:pPr>
        <w:spacing w:line="240" w:lineRule="auto" w:before="0" w:after="20"/>
        <w:ind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2. Политика разработана в соответствии с Федеральным законом от 27.07.2006 № 152-ФЗ «О персональных данных», иными нормативными правовыми актами Российской Федерации в области персональных данных.</w:t>
      </w:r>
    </w:p>
    <w:p>
      <w:pPr>
        <w:spacing w:line="240" w:lineRule="auto" w:before="0" w:after="20"/>
        <w:ind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3. Политика является общедоступным документом и размещается на сайте Оператора на страницах, где осуществляется сбор персональных данных.</w:t>
      </w:r>
    </w:p>
    <w:p>
      <w:pPr>
        <w:spacing w:line="240" w:lineRule="auto" w:before="0" w:after="20"/>
        <w:ind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4. Оператор не оказывает услуги физическим лицам для личных, семейных, домашних или бытовых нужд. При этом Оператор может обрабатывать персональные данные представителей клиентов, индивидуальных предпринимателей, перевозчиков, водителей, сотрудников контрагентов и иных физических лиц, участвующих в исполнении заявок.</w:t>
      </w:r>
    </w:p>
    <w:p>
      <w:pPr>
        <w:spacing w:line="240" w:lineRule="auto" w:before="120" w:after="40"/>
        <w:jc w:val="left"/>
      </w:pPr>
      <w:r>
        <w:rPr>
          <w:rFonts w:ascii="Times New Roman" w:hAnsi="Times New Roman" w:eastAsia="Times New Roman"/>
          <w:b/>
          <w:i w:val="0"/>
          <w:sz w:val="24"/>
        </w:rPr>
        <w:t>2. Основные термины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5"/>
        <w:gridCol w:w="5185"/>
      </w:tblGrid>
      <w:tr>
        <w:trPr>
          <w:tblHeader w:val="true"/>
        </w:trPr>
        <w:tc>
          <w:tcPr>
            <w:tcW w:type="dxa" w:w="5185"/>
            <w:shd w:fill="D9EAF7"/>
            <w:vAlign w:val="center"/>
            <w:tcW w:w="2381" w:type="dxa"/>
          </w:tcPr>
          <w:p>
            <w:pPr>
              <w:spacing w:line="240" w:lineRule="auto" w:before="0" w:after="2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Термин</w:t>
            </w:r>
          </w:p>
        </w:tc>
        <w:tc>
          <w:tcPr>
            <w:tcW w:type="dxa" w:w="5185"/>
            <w:shd w:fill="D9EAF7"/>
            <w:vAlign w:val="center"/>
            <w:tcW w:w="6350" w:type="dxa"/>
          </w:tcPr>
          <w:p>
            <w:pPr>
              <w:spacing w:line="240" w:lineRule="auto" w:before="0" w:after="2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Значение</w:t>
            </w:r>
          </w:p>
        </w:tc>
      </w:tr>
      <w:tr>
        <w:tc>
          <w:tcPr>
            <w:tcW w:type="dxa" w:w="5185"/>
            <w:vAlign w:val="center"/>
            <w:tcW w:w="2381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Персональные данные</w:t>
            </w:r>
          </w:p>
        </w:tc>
        <w:tc>
          <w:tcPr>
            <w:tcW w:type="dxa" w:w="5185"/>
            <w:vAlign w:val="center"/>
            <w:tcW w:w="6350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любая информация, относящаяся прямо или косвенно к определенному или определяемому физическому лицу.</w:t>
            </w:r>
          </w:p>
        </w:tc>
      </w:tr>
      <w:tr>
        <w:tc>
          <w:tcPr>
            <w:tcW w:type="dxa" w:w="5185"/>
            <w:vAlign w:val="center"/>
            <w:tcW w:w="2381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Оператор</w:t>
            </w:r>
          </w:p>
        </w:tc>
        <w:tc>
          <w:tcPr>
            <w:tcW w:type="dxa" w:w="5185"/>
            <w:vAlign w:val="center"/>
            <w:tcW w:w="6350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ИП Семыкин В.А., самостоятельно организующий и осуществляющий обработку персональных данных, определяющий цели обработки, состав данных и действия с ними.</w:t>
            </w:r>
          </w:p>
        </w:tc>
      </w:tr>
      <w:tr>
        <w:tc>
          <w:tcPr>
            <w:tcW w:type="dxa" w:w="5185"/>
            <w:vAlign w:val="center"/>
            <w:tcW w:w="2381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Субъект персональных данных</w:t>
            </w:r>
          </w:p>
        </w:tc>
        <w:tc>
          <w:tcPr>
            <w:tcW w:type="dxa" w:w="5185"/>
            <w:vAlign w:val="center"/>
            <w:tcW w:w="6350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физическое лицо, к которому относятся персональные данные: представитель клиента, ИП, водитель, перевозчик, представитель поставщика, посетитель сайта и иное лицо.</w:t>
            </w:r>
          </w:p>
        </w:tc>
      </w:tr>
      <w:tr>
        <w:tc>
          <w:tcPr>
            <w:tcW w:type="dxa" w:w="5185"/>
            <w:vAlign w:val="center"/>
            <w:tcW w:w="2381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Обработка персональных данных</w:t>
            </w:r>
          </w:p>
        </w:tc>
        <w:tc>
          <w:tcPr>
            <w:tcW w:type="dxa" w:w="5185"/>
            <w:vAlign w:val="center"/>
            <w:tcW w:w="6350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любое действие с персональными данными, включая сбор, запись, систематизацию, накопление, хранение, уточнение, использование, передачу, блокирование, удаление и уничтожение.</w:t>
            </w:r>
          </w:p>
        </w:tc>
      </w:tr>
      <w:tr>
        <w:tc>
          <w:tcPr>
            <w:tcW w:type="dxa" w:w="5185"/>
            <w:vAlign w:val="center"/>
            <w:tcW w:w="2381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Сайт</w:t>
            </w:r>
          </w:p>
        </w:tc>
        <w:tc>
          <w:tcPr>
            <w:tcW w:type="dxa" w:w="5185"/>
            <w:vAlign w:val="center"/>
            <w:tcW w:w="6350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интернет-страницы Оператора, через которые пользователь получает информацию, направляет заявки, формы, документы и сообщения.</w:t>
            </w:r>
          </w:p>
        </w:tc>
      </w:tr>
    </w:tbl>
    <w:p>
      <w:pPr>
        <w:spacing w:line="240" w:lineRule="auto" w:before="120" w:after="40"/>
        <w:jc w:val="left"/>
      </w:pPr>
      <w:r>
        <w:rPr>
          <w:rFonts w:ascii="Times New Roman" w:hAnsi="Times New Roman" w:eastAsia="Times New Roman"/>
          <w:b/>
          <w:i w:val="0"/>
          <w:sz w:val="24"/>
        </w:rPr>
        <w:t>3. Категории субъектов персональных данных</w:t>
      </w:r>
    </w:p>
    <w:p>
      <w:pPr>
        <w:pStyle w:val="ListBullet"/>
        <w:spacing w:line="240" w:lineRule="auto" w:before="0" w:after="20"/>
        <w:ind w:left="340" w:hanging="198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посетители сайта и пользователи форм обратной связи, расчета услуг и заявок;</w:t>
      </w:r>
    </w:p>
    <w:p>
      <w:pPr>
        <w:pStyle w:val="ListBullet"/>
        <w:spacing w:line="240" w:lineRule="auto" w:before="0" w:after="20"/>
        <w:ind w:left="340" w:hanging="198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индивидуальные предприниматели, представители юридических лиц и контрагентов Оператора;</w:t>
      </w:r>
    </w:p>
    <w:p>
      <w:pPr>
        <w:pStyle w:val="ListBullet"/>
        <w:spacing w:line="240" w:lineRule="auto" w:before="0" w:after="20"/>
        <w:ind w:left="340" w:hanging="198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сотрудники, представители, контактные лица клиентов, поставщиков и перевозчиков;</w:t>
      </w:r>
    </w:p>
    <w:p>
      <w:pPr>
        <w:pStyle w:val="ListBullet"/>
        <w:spacing w:line="240" w:lineRule="auto" w:before="0" w:after="20"/>
        <w:ind w:left="340" w:hanging="198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водители, курьеры, представители транспортных компаний и лица, доставляющие или получающие товар;</w:t>
      </w:r>
    </w:p>
    <w:p>
      <w:pPr>
        <w:pStyle w:val="ListBullet"/>
        <w:spacing w:line="240" w:lineRule="auto" w:before="0" w:after="20"/>
        <w:ind w:left="340" w:hanging="198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лица, указанные в Шаблонах приемки, Технических заданиях, заявках, накладных, счетах, актах, переписке и иных документах;</w:t>
      </w:r>
    </w:p>
    <w:p>
      <w:pPr>
        <w:pStyle w:val="ListBullet"/>
        <w:spacing w:line="240" w:lineRule="auto" w:before="0" w:after="20"/>
        <w:ind w:left="340" w:hanging="198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посетители склада и лица, попадающие в зону фото- и видеофиксации в целях безопасности, приемки и разрешения претензий.</w:t>
      </w:r>
    </w:p>
    <w:p>
      <w:pPr>
        <w:spacing w:line="240" w:lineRule="auto" w:before="120" w:after="40"/>
        <w:jc w:val="left"/>
      </w:pPr>
      <w:r>
        <w:rPr>
          <w:rFonts w:ascii="Times New Roman" w:hAnsi="Times New Roman" w:eastAsia="Times New Roman"/>
          <w:b/>
          <w:i w:val="0"/>
          <w:sz w:val="24"/>
        </w:rPr>
        <w:t>4. Категории обрабатываемых персональных данных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5"/>
        <w:gridCol w:w="5185"/>
      </w:tblGrid>
      <w:tr>
        <w:trPr>
          <w:tblHeader w:val="true"/>
        </w:trPr>
        <w:tc>
          <w:tcPr>
            <w:tcW w:type="dxa" w:w="5185"/>
            <w:shd w:fill="D9EAF7"/>
            <w:vAlign w:val="center"/>
            <w:tcW w:w="2721" w:type="dxa"/>
          </w:tcPr>
          <w:p>
            <w:pPr>
              <w:spacing w:line="240" w:lineRule="auto" w:before="0" w:after="2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Категория данных</w:t>
            </w:r>
          </w:p>
        </w:tc>
        <w:tc>
          <w:tcPr>
            <w:tcW w:type="dxa" w:w="5185"/>
            <w:shd w:fill="D9EAF7"/>
            <w:vAlign w:val="center"/>
            <w:tcW w:w="6010" w:type="dxa"/>
          </w:tcPr>
          <w:p>
            <w:pPr>
              <w:spacing w:line="240" w:lineRule="auto" w:before="0" w:after="2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Примеры данных</w:t>
            </w:r>
          </w:p>
        </w:tc>
      </w:tr>
      <w:tr>
        <w:tc>
          <w:tcPr>
            <w:tcW w:type="dxa" w:w="5185"/>
            <w:vAlign w:val="center"/>
            <w:tcW w:w="2721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Идентификационные и контактные данные</w:t>
            </w:r>
          </w:p>
        </w:tc>
        <w:tc>
          <w:tcPr>
            <w:tcW w:type="dxa" w:w="5185"/>
            <w:vAlign w:val="center"/>
            <w:tcW w:w="6010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фамилия, имя, отчество; телефон; адрес электронной почты; никнейм, ID или контакт в Telegram, WhatsApp, MAX; должность; наименование представляемой организации.</w:t>
            </w:r>
          </w:p>
        </w:tc>
      </w:tr>
      <w:tr>
        <w:tc>
          <w:tcPr>
            <w:tcW w:type="dxa" w:w="5185"/>
            <w:vAlign w:val="center"/>
            <w:tcW w:w="2721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Данные индивидуальных предпринимателей</w:t>
            </w:r>
          </w:p>
        </w:tc>
        <w:tc>
          <w:tcPr>
            <w:tcW w:type="dxa" w:w="5185"/>
            <w:vAlign w:val="center"/>
            <w:tcW w:w="6010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ИНН, ОГРНИП, адрес, реквизиты, сведения из заявки, договора, счета и первичных документов, если они относятся к физическому лицу.</w:t>
            </w:r>
          </w:p>
        </w:tc>
      </w:tr>
      <w:tr>
        <w:tc>
          <w:tcPr>
            <w:tcW w:type="dxa" w:w="5185"/>
            <w:vAlign w:val="center"/>
            <w:tcW w:w="2721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Данные по заявкам и поставкам</w:t>
            </w:r>
          </w:p>
        </w:tc>
        <w:tc>
          <w:tcPr>
            <w:tcW w:type="dxa" w:w="5185"/>
            <w:vAlign w:val="center"/>
            <w:tcW w:w="6010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категория товара, количество, комментарии, номер поставки, сведения из Шаблона приемки, Технического задания, актов, накладных и переписки.</w:t>
            </w:r>
          </w:p>
        </w:tc>
      </w:tr>
      <w:tr>
        <w:tc>
          <w:tcPr>
            <w:tcW w:type="dxa" w:w="5185"/>
            <w:vAlign w:val="center"/>
            <w:tcW w:w="2721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Данные представителей и водителей</w:t>
            </w:r>
          </w:p>
        </w:tc>
        <w:tc>
          <w:tcPr>
            <w:tcW w:type="dxa" w:w="5185"/>
            <w:vAlign w:val="center"/>
            <w:tcW w:w="6010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ФИО, телефон, сведения о транспортном средстве, государственный номер, время прибытия, сведения о доверенности или ином подтверждении полномочий при необходимости.</w:t>
            </w:r>
          </w:p>
        </w:tc>
      </w:tr>
      <w:tr>
        <w:tc>
          <w:tcPr>
            <w:tcW w:type="dxa" w:w="5185"/>
            <w:vAlign w:val="center"/>
            <w:tcW w:w="2721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Технические данные сайта</w:t>
            </w:r>
          </w:p>
        </w:tc>
        <w:tc>
          <w:tcPr>
            <w:tcW w:type="dxa" w:w="5185"/>
            <w:vAlign w:val="center"/>
            <w:tcW w:w="6010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IP-адрес, сведения о браузере и устройстве, дата и время посещения, cookies, сведения, собираемые средствами веб-аналитики, если они используются на сайте.</w:t>
            </w:r>
          </w:p>
        </w:tc>
      </w:tr>
      <w:tr>
        <w:tc>
          <w:tcPr>
            <w:tcW w:type="dxa" w:w="5185"/>
            <w:vAlign w:val="center"/>
            <w:tcW w:w="2721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Фото- и видеоматериалы</w:t>
            </w:r>
          </w:p>
        </w:tc>
        <w:tc>
          <w:tcPr>
            <w:tcW w:type="dxa" w:w="5185"/>
            <w:vAlign w:val="center"/>
            <w:tcW w:w="6010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изображение товара, упаковки, грузовых мест, процесса приемки/передачи; изображение лиц и транспортных средств, если они попали в зону фиксации. Оператор не использует такие данные для биометрической идентификации.</w:t>
            </w:r>
          </w:p>
        </w:tc>
      </w:tr>
    </w:tbl>
    <w:p>
      <w:pPr>
        <w:spacing w:line="240" w:lineRule="auto" w:before="120" w:after="40"/>
        <w:jc w:val="left"/>
      </w:pPr>
      <w:r>
        <w:rPr>
          <w:rFonts w:ascii="Times New Roman" w:hAnsi="Times New Roman" w:eastAsia="Times New Roman"/>
          <w:b/>
          <w:i w:val="0"/>
          <w:sz w:val="24"/>
        </w:rPr>
        <w:t>5. Цели обработки персональных данных</w:t>
      </w:r>
    </w:p>
    <w:p>
      <w:pPr>
        <w:pStyle w:val="ListBullet"/>
        <w:spacing w:line="240" w:lineRule="auto" w:before="0" w:after="20"/>
        <w:ind w:left="340" w:hanging="198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прием, обработка и исполнение заявок на услуги фулфилмента, 3PL, приемки, пересчета, упаковки, маркировки, хранения и логистики;</w:t>
      </w:r>
    </w:p>
    <w:p>
      <w:pPr>
        <w:pStyle w:val="ListBullet"/>
        <w:spacing w:line="240" w:lineRule="auto" w:before="0" w:after="20"/>
        <w:ind w:left="340" w:hanging="198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согласование передачи товара, даты и времени поставки при необходимости, идентификация поставки и контактных лиц;</w:t>
      </w:r>
    </w:p>
    <w:p>
      <w:pPr>
        <w:pStyle w:val="ListBullet"/>
        <w:spacing w:line="240" w:lineRule="auto" w:before="0" w:after="20"/>
        <w:ind w:left="340" w:hanging="198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обработка Шаблонов приемки и Технических заданий, организация приемки, хранения, обработки и отгрузки товара;</w:t>
      </w:r>
    </w:p>
    <w:p>
      <w:pPr>
        <w:pStyle w:val="ListBullet"/>
        <w:spacing w:line="240" w:lineRule="auto" w:before="0" w:after="20"/>
        <w:ind w:left="340" w:hanging="198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коммуникация с клиентами, представителями, перевозчиками и иными лицами через сайт, телефон, электронную почту, Telegram, WhatsApp, MAX и другие согласованные каналы;</w:t>
      </w:r>
    </w:p>
    <w:p>
      <w:pPr>
        <w:pStyle w:val="ListBullet"/>
        <w:spacing w:line="240" w:lineRule="auto" w:before="0" w:after="20"/>
        <w:ind w:left="340" w:hanging="198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заключение, исполнение, изменение и прекращение договоров, выставление счетов, ведение бухгалтерского и налогового учета;</w:t>
      </w:r>
    </w:p>
    <w:p>
      <w:pPr>
        <w:pStyle w:val="ListBullet"/>
        <w:spacing w:line="240" w:lineRule="auto" w:before="0" w:after="20"/>
        <w:ind w:left="340" w:hanging="198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подтверждение факта приемки, состояния товара, объема оказанных услуг, передачи товара, разрешение претензий и споров;</w:t>
      </w:r>
    </w:p>
    <w:p>
      <w:pPr>
        <w:pStyle w:val="ListBullet"/>
        <w:spacing w:line="240" w:lineRule="auto" w:before="0" w:after="20"/>
        <w:ind w:left="340" w:hanging="198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обеспечение безопасности склада, имущества, сотрудников, посетителей, товара и иных лиц;</w:t>
      </w:r>
    </w:p>
    <w:p>
      <w:pPr>
        <w:pStyle w:val="ListBullet"/>
        <w:spacing w:line="240" w:lineRule="auto" w:before="0" w:after="20"/>
        <w:ind w:left="340" w:hanging="198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обеспечение работы сайта, улучшение качества сервиса, анализ обращений и технической стабильности сайта;</w:t>
      </w:r>
    </w:p>
    <w:p>
      <w:pPr>
        <w:pStyle w:val="ListBullet"/>
        <w:spacing w:line="240" w:lineRule="auto" w:before="0" w:after="20"/>
        <w:ind w:left="340" w:hanging="198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исполнение обязанностей, предусмотренных законодательством Российской Федерации, запросами государственных органов и судебными актами.</w:t>
      </w:r>
    </w:p>
    <w:p>
      <w:pPr>
        <w:spacing w:line="240" w:lineRule="auto" w:before="120" w:after="40"/>
        <w:jc w:val="left"/>
      </w:pPr>
      <w:r>
        <w:rPr>
          <w:rFonts w:ascii="Times New Roman" w:hAnsi="Times New Roman" w:eastAsia="Times New Roman"/>
          <w:b/>
          <w:i w:val="0"/>
          <w:sz w:val="24"/>
        </w:rPr>
        <w:t>6. Правовые основания обработки</w:t>
      </w:r>
    </w:p>
    <w:p>
      <w:pPr>
        <w:pStyle w:val="ListBullet"/>
        <w:spacing w:line="240" w:lineRule="auto" w:before="0" w:after="20"/>
        <w:ind w:left="340" w:hanging="198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согласие субъекта персональных данных, выраженное путем проставления отдельной отметки, направления формы, сообщения или документа, если такое согласие требуется;</w:t>
      </w:r>
    </w:p>
    <w:p>
      <w:pPr>
        <w:pStyle w:val="ListBullet"/>
        <w:spacing w:line="240" w:lineRule="auto" w:before="0" w:after="20"/>
        <w:ind w:left="340" w:hanging="198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заключение и исполнение договора, стороной, выгодоприобретателем или поручителем по которому является субъект персональных данных, либо заключение договора по инициативе субъекта;</w:t>
      </w:r>
    </w:p>
    <w:p>
      <w:pPr>
        <w:pStyle w:val="ListBullet"/>
        <w:spacing w:line="240" w:lineRule="auto" w:before="0" w:after="20"/>
        <w:ind w:left="340" w:hanging="198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исполнение обязанностей Оператора, предусмотренных законодательством Российской Федерации, включая бухгалтерский, налоговый учет и хранение документов;</w:t>
      </w:r>
    </w:p>
    <w:p>
      <w:pPr>
        <w:pStyle w:val="ListBullet"/>
        <w:spacing w:line="240" w:lineRule="auto" w:before="0" w:after="20"/>
        <w:ind w:left="340" w:hanging="198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осуществление прав и законных интересов Оператора или третьих лиц при условии, что при этом не нарушаются права и свободы субъекта персональных данных;</w:t>
      </w:r>
    </w:p>
    <w:p>
      <w:pPr>
        <w:pStyle w:val="ListBullet"/>
        <w:spacing w:line="240" w:lineRule="auto" w:before="0" w:after="20"/>
        <w:ind w:left="340" w:hanging="198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иные основания, предусмотренные Федеральным законом № 152-ФЗ.</w:t>
      </w:r>
    </w:p>
    <w:p>
      <w:pPr>
        <w:spacing w:line="240" w:lineRule="auto" w:before="120" w:after="40"/>
        <w:jc w:val="left"/>
      </w:pPr>
      <w:r>
        <w:rPr>
          <w:rFonts w:ascii="Times New Roman" w:hAnsi="Times New Roman" w:eastAsia="Times New Roman"/>
          <w:b/>
          <w:i w:val="0"/>
          <w:sz w:val="24"/>
        </w:rPr>
        <w:t>7. Действия с персональными данными и способы обработки</w:t>
      </w:r>
    </w:p>
    <w:p>
      <w:pPr>
        <w:spacing w:line="240" w:lineRule="auto" w:before="0" w:after="20"/>
        <w:ind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1. Оператор совершает с персональными данными следующие действия: сбор, запись, систематизацию, накопление, хранение, уточнение, извлечение, использование, передачу, предоставление, доступ, обезличивание, блокирование, удаление, уничтожение.</w:t>
      </w:r>
    </w:p>
    <w:p>
      <w:pPr>
        <w:spacing w:line="240" w:lineRule="auto" w:before="0" w:after="20"/>
        <w:ind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2. Обработка осуществляется смешанным способом: с использованием средств автоматизации и без использования таких средств.</w:t>
      </w:r>
    </w:p>
    <w:p>
      <w:pPr>
        <w:spacing w:line="240" w:lineRule="auto" w:before="0" w:after="20"/>
        <w:ind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3. Оператор не обрабатывает специальные категории персональных данных, если такие данные не были предоставлены субъектом по собственной инициативе и не требуются для исполнения конкретной законной цели.</w:t>
      </w:r>
    </w:p>
    <w:p>
      <w:pPr>
        <w:spacing w:line="240" w:lineRule="auto" w:before="0" w:after="20"/>
        <w:ind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4. Оператор не осуществляет обработку биометрических персональных данных в целях установления личности субъекта. Фото- и видеофиксация используется для приемки, безопасности, контроля качества услуг и разрешения претензий.</w:t>
      </w:r>
    </w:p>
    <w:p>
      <w:pPr>
        <w:spacing w:line="240" w:lineRule="auto" w:before="120" w:after="40"/>
        <w:jc w:val="left"/>
      </w:pPr>
      <w:r>
        <w:rPr>
          <w:rFonts w:ascii="Times New Roman" w:hAnsi="Times New Roman" w:eastAsia="Times New Roman"/>
          <w:b/>
          <w:i w:val="0"/>
          <w:sz w:val="24"/>
        </w:rPr>
        <w:t>8. Cookies, технические данные и аналитика</w:t>
      </w:r>
    </w:p>
    <w:p>
      <w:pPr>
        <w:spacing w:line="240" w:lineRule="auto" w:before="0" w:after="20"/>
        <w:ind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1. Сайт может использовать необходимые cookies и технические данные для корректной работы страниц, форм, защиты от злоупотреблений и сохранения пользовательских настроек.</w:t>
      </w:r>
    </w:p>
    <w:p>
      <w:pPr>
        <w:spacing w:line="240" w:lineRule="auto" w:before="0" w:after="20"/>
        <w:ind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2. При использовании метрических и аналитических программ Оператор размещает на сайте уведомление о cookies и получает согласие пользователя на обработку необязательных cookies, если такое согласие требуется применимым законодательством.</w:t>
      </w:r>
    </w:p>
    <w:p>
      <w:pPr>
        <w:spacing w:line="240" w:lineRule="auto" w:before="0" w:after="20"/>
        <w:ind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3. Пользователь вправе ограничить или запретить использование cookies в настройках браузера. Это может повлиять на корректность работы отдельных функций сайта.</w:t>
      </w:r>
    </w:p>
    <w:p>
      <w:pPr>
        <w:spacing w:line="240" w:lineRule="auto" w:before="120" w:after="40"/>
        <w:jc w:val="left"/>
      </w:pPr>
      <w:r>
        <w:rPr>
          <w:rFonts w:ascii="Times New Roman" w:hAnsi="Times New Roman" w:eastAsia="Times New Roman"/>
          <w:b/>
          <w:i w:val="0"/>
          <w:sz w:val="24"/>
        </w:rPr>
        <w:t>9. Передача персональных данных третьим лицам</w:t>
      </w:r>
    </w:p>
    <w:p>
      <w:pPr>
        <w:spacing w:line="240" w:lineRule="auto" w:before="0" w:after="20"/>
        <w:ind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1. Оператор может передавать персональные данные третьим лицам только при наличии правового основания и в объеме, необходимом для достижения целей обработки.</w:t>
      </w:r>
    </w:p>
    <w:p>
      <w:pPr>
        <w:spacing w:line="240" w:lineRule="auto" w:before="0" w:after="20"/>
        <w:ind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2. Получателями данных могут быть: поставщики хостинга и технической поддержки сайта; операторы электронной почты и мессенджеров; сервисы MAX, Telegram, WhatsApp; банки; бухгалтерские и юридические консультанты; транспортные компании; маркетплейсы; государственные органы; суды; иные лица, участвующие в исполнении заявки или требований закона.</w:t>
      </w:r>
    </w:p>
    <w:p>
      <w:pPr>
        <w:spacing w:line="240" w:lineRule="auto" w:before="0" w:after="20"/>
        <w:ind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3. Если обработка персональных данных поручается третьему лицу, Оператор принимает меры для обеспечения конфиденциальности и безопасности персональных данных в пределах применимого законодательства.</w:t>
      </w:r>
    </w:p>
    <w:p>
      <w:pPr>
        <w:spacing w:line="240" w:lineRule="auto" w:before="0" w:after="20"/>
        <w:ind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4. Передача данных через иностранные сервисы или сервисы, инфраструктура которых может находиться за пределами Российской Федерации, может являться трансграничной передачей персональных данных и допускается только при соблюдении требований законодательства Российской Федерации.</w:t>
      </w:r>
    </w:p>
    <w:p>
      <w:pPr>
        <w:spacing w:line="240" w:lineRule="auto" w:before="120" w:after="40"/>
        <w:jc w:val="left"/>
      </w:pPr>
      <w:r>
        <w:rPr>
          <w:rFonts w:ascii="Times New Roman" w:hAnsi="Times New Roman" w:eastAsia="Times New Roman"/>
          <w:b/>
          <w:i w:val="0"/>
          <w:sz w:val="24"/>
        </w:rPr>
        <w:t>10. Локализация и трансграничная передача</w:t>
      </w:r>
    </w:p>
    <w:p>
      <w:pPr>
        <w:spacing w:line="240" w:lineRule="auto" w:before="0" w:after="20"/>
        <w:ind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1. При сборе персональных данных граждан Российской Федерации Оператор обеспечивает запись, систематизацию, накопление, хранение, уточнение и извлечение таких данных с использованием баз данных, находящихся на территории Российской Федерации, если иное не предусмотрено законом.</w:t>
      </w:r>
    </w:p>
    <w:p>
      <w:pPr>
        <w:spacing w:line="240" w:lineRule="auto" w:before="0" w:after="20"/>
        <w:ind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2. До начала трансграничной передачи персональных данных Оператор направляет уведомление в Роскомнадзор в случаях и порядке, предусмотренных законодательством Российской Федерации.</w:t>
      </w:r>
    </w:p>
    <w:p>
      <w:pPr>
        <w:spacing w:line="240" w:lineRule="auto" w:before="0" w:after="20"/>
        <w:ind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3. Если Оператор использует иностранные сервисы связи, аналитики, хостинга или обработки заявок, такая обработка должна быть предварительно проверена на соответствие требованиям локализации и трансграничной передачи персональных данных.</w:t>
      </w:r>
    </w:p>
    <w:p>
      <w:pPr>
        <w:spacing w:line="240" w:lineRule="auto" w:before="120" w:after="40"/>
        <w:jc w:val="left"/>
      </w:pPr>
      <w:r>
        <w:rPr>
          <w:rFonts w:ascii="Times New Roman" w:hAnsi="Times New Roman" w:eastAsia="Times New Roman"/>
          <w:b/>
          <w:i w:val="0"/>
          <w:sz w:val="24"/>
        </w:rPr>
        <w:t>11. Сроки хранения персональных данных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5"/>
        <w:gridCol w:w="5185"/>
      </w:tblGrid>
      <w:tr>
        <w:trPr>
          <w:tblHeader w:val="true"/>
        </w:trPr>
        <w:tc>
          <w:tcPr>
            <w:tcW w:type="dxa" w:w="5185"/>
            <w:shd w:fill="D9EAF7"/>
            <w:vAlign w:val="center"/>
            <w:tcW w:w="2948" w:type="dxa"/>
          </w:tcPr>
          <w:p>
            <w:pPr>
              <w:spacing w:line="240" w:lineRule="auto" w:before="0" w:after="2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Категория данных</w:t>
            </w:r>
          </w:p>
        </w:tc>
        <w:tc>
          <w:tcPr>
            <w:tcW w:type="dxa" w:w="5185"/>
            <w:shd w:fill="D9EAF7"/>
            <w:vAlign w:val="center"/>
            <w:tcW w:w="5783" w:type="dxa"/>
          </w:tcPr>
          <w:p>
            <w:pPr>
              <w:spacing w:line="240" w:lineRule="auto" w:before="0" w:after="2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Срок хранения</w:t>
            </w:r>
          </w:p>
        </w:tc>
      </w:tr>
      <w:tr>
        <w:tc>
          <w:tcPr>
            <w:tcW w:type="dxa" w:w="5185"/>
            <w:vAlign w:val="center"/>
            <w:tcW w:w="2948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Заявки, формы обратной связи и расчета услуг</w:t>
            </w:r>
          </w:p>
        </w:tc>
        <w:tc>
          <w:tcPr>
            <w:tcW w:type="dxa" w:w="5185"/>
            <w:vAlign w:val="center"/>
            <w:tcW w:w="5783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до достижения цели обращения и далее в течение срока, необходимого для защиты прав Оператора, но не более 3 лет, если более длительный срок не требуется законом или договором.</w:t>
            </w:r>
          </w:p>
        </w:tc>
      </w:tr>
      <w:tr>
        <w:tc>
          <w:tcPr>
            <w:tcW w:type="dxa" w:w="5185"/>
            <w:vAlign w:val="center"/>
            <w:tcW w:w="2948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Договорные, бухгалтерские и налоговые документы</w:t>
            </w:r>
          </w:p>
        </w:tc>
        <w:tc>
          <w:tcPr>
            <w:tcW w:type="dxa" w:w="5185"/>
            <w:vAlign w:val="center"/>
            <w:tcW w:w="5783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в течение сроков, предусмотренных законодательством о бухгалтерском и налоговом учете, а также сроков исковой давности.</w:t>
            </w:r>
          </w:p>
        </w:tc>
      </w:tr>
      <w:tr>
        <w:tc>
          <w:tcPr>
            <w:tcW w:type="dxa" w:w="5185"/>
            <w:vAlign w:val="center"/>
            <w:tcW w:w="2948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Шаблоны приемки, Технические задания, акты, переписка по поставкам</w:t>
            </w:r>
          </w:p>
        </w:tc>
        <w:tc>
          <w:tcPr>
            <w:tcW w:type="dxa" w:w="5185"/>
            <w:vAlign w:val="center"/>
            <w:tcW w:w="5783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в течение срока исполнения заявки и далее в течение срока исковой давности или иного срока, необходимого для защиты прав сторон.</w:t>
            </w:r>
          </w:p>
        </w:tc>
      </w:tr>
      <w:tr>
        <w:tc>
          <w:tcPr>
            <w:tcW w:type="dxa" w:w="5185"/>
            <w:vAlign w:val="center"/>
            <w:tcW w:w="2948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Фото- и видеоматериалы приемки, хранения и передачи товара</w:t>
            </w:r>
          </w:p>
        </w:tc>
        <w:tc>
          <w:tcPr>
            <w:tcW w:type="dxa" w:w="5185"/>
            <w:vAlign w:val="center"/>
            <w:tcW w:w="5783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в течение срока, необходимого для подтверждения оказания услуг, разрешения претензий и обеспечения безопасности, если более длительный срок не требуется для защиты прав Оператора.</w:t>
            </w:r>
          </w:p>
        </w:tc>
      </w:tr>
      <w:tr>
        <w:tc>
          <w:tcPr>
            <w:tcW w:type="dxa" w:w="5185"/>
            <w:vAlign w:val="center"/>
            <w:tcW w:w="2948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Технические cookies и данные аналитики</w:t>
            </w:r>
          </w:p>
        </w:tc>
        <w:tc>
          <w:tcPr>
            <w:tcW w:type="dxa" w:w="5185"/>
            <w:vAlign w:val="center"/>
            <w:tcW w:w="5783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в течение сроков, определяемых настройками соответствующих сервисов и целями обработки, если пользователь не удалил cookies ранее.</w:t>
            </w:r>
          </w:p>
        </w:tc>
      </w:tr>
    </w:tbl>
    <w:p>
      <w:pPr>
        <w:spacing w:line="240" w:lineRule="auto" w:before="120" w:after="40"/>
        <w:jc w:val="left"/>
      </w:pPr>
      <w:r>
        <w:rPr>
          <w:rFonts w:ascii="Times New Roman" w:hAnsi="Times New Roman" w:eastAsia="Times New Roman"/>
          <w:b/>
          <w:i w:val="0"/>
          <w:sz w:val="24"/>
        </w:rPr>
        <w:t>12. Права субъектов персональных данных</w:t>
      </w:r>
    </w:p>
    <w:p>
      <w:pPr>
        <w:pStyle w:val="ListBullet"/>
        <w:spacing w:line="240" w:lineRule="auto" w:before="0" w:after="20"/>
        <w:ind w:left="340" w:hanging="198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получать сведения об обработке своих персональных данных;</w:t>
      </w:r>
    </w:p>
    <w:p>
      <w:pPr>
        <w:pStyle w:val="ListBullet"/>
        <w:spacing w:line="240" w:lineRule="auto" w:before="0" w:after="20"/>
        <w:ind w:left="340" w:hanging="198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требовать уточнения, блокирования или уничтожения персональных данных, если они являются неполными, устаревшими, неточными, незаконно полученными или не нужны для заявленной цели обработки;</w:t>
      </w:r>
    </w:p>
    <w:p>
      <w:pPr>
        <w:pStyle w:val="ListBullet"/>
        <w:spacing w:line="240" w:lineRule="auto" w:before="0" w:after="20"/>
        <w:ind w:left="340" w:hanging="198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отозвать согласие на обработку персональных данных, если обработка осуществляется на основании согласия;</w:t>
      </w:r>
    </w:p>
    <w:p>
      <w:pPr>
        <w:pStyle w:val="ListBullet"/>
        <w:spacing w:line="240" w:lineRule="auto" w:before="0" w:after="20"/>
        <w:ind w:left="340" w:hanging="198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обжаловать действия или бездействие Оператора в Роскомнадзор или в суд;</w:t>
      </w:r>
    </w:p>
    <w:p>
      <w:pPr>
        <w:pStyle w:val="ListBullet"/>
        <w:spacing w:line="240" w:lineRule="auto" w:before="0" w:after="20"/>
        <w:ind w:left="340" w:hanging="198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осуществлять иные права, предусмотренные законодательством Российской Федерации.</w:t>
      </w:r>
    </w:p>
    <w:p>
      <w:pPr>
        <w:spacing w:line="240" w:lineRule="auto" w:before="120" w:after="40"/>
        <w:jc w:val="left"/>
      </w:pPr>
      <w:r>
        <w:rPr>
          <w:rFonts w:ascii="Times New Roman" w:hAnsi="Times New Roman" w:eastAsia="Times New Roman"/>
          <w:b/>
          <w:i w:val="0"/>
          <w:sz w:val="24"/>
        </w:rPr>
        <w:t>13. Порядок обращения субъекта персональных данных</w:t>
      </w:r>
    </w:p>
    <w:p>
      <w:pPr>
        <w:spacing w:line="240" w:lineRule="auto" w:before="0" w:after="20"/>
        <w:ind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1. Запросы по вопросам персональных данных направляются на email order@3-pl.ru или почтовым отправлением по адресу Оператора, указанному в настоящей Политике и/или договоре-оферте.</w:t>
      </w:r>
    </w:p>
    <w:p>
      <w:pPr>
        <w:spacing w:line="240" w:lineRule="auto" w:before="0" w:after="20"/>
        <w:ind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2. Запрос должен позволять идентифицировать субъекта персональных данных или его представителя, содержать сведения, подтверждающие участие субъекта в отношениях с Оператором, и суть требования.</w:t>
      </w:r>
    </w:p>
    <w:p>
      <w:pPr>
        <w:spacing w:line="240" w:lineRule="auto" w:before="0" w:after="20"/>
        <w:ind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3. Оператор рассматривает обращения в сроки, установленные законодательством Российской Федерации. При необходимости Оператор вправе запросить дополнительные сведения для подтверждения личности и полномочий заявителя.</w:t>
      </w:r>
    </w:p>
    <w:p>
      <w:pPr>
        <w:spacing w:line="240" w:lineRule="auto" w:before="0" w:after="20"/>
        <w:ind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4. Отзыв согласия не влияет на законность обработки, осуществлявшейся до получения отзыва. После отзыва Оператор прекращает обработку персональных данных, если отсутствуют иные законные основания для ее продолжения.</w:t>
      </w:r>
    </w:p>
    <w:p>
      <w:pPr>
        <w:spacing w:line="240" w:lineRule="auto" w:before="120" w:after="40"/>
        <w:jc w:val="left"/>
      </w:pPr>
      <w:r>
        <w:rPr>
          <w:rFonts w:ascii="Times New Roman" w:hAnsi="Times New Roman" w:eastAsia="Times New Roman"/>
          <w:b/>
          <w:i w:val="0"/>
          <w:sz w:val="24"/>
        </w:rPr>
        <w:t>14. Меры по защите персональных данных</w:t>
      </w:r>
    </w:p>
    <w:p>
      <w:pPr>
        <w:pStyle w:val="ListBullet"/>
        <w:spacing w:line="240" w:lineRule="auto" w:before="0" w:after="20"/>
        <w:ind w:left="340" w:hanging="198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ограничение доступа к персональным данным кругом лиц, которым такие данные необходимы для исполнения обязанностей;</w:t>
      </w:r>
    </w:p>
    <w:p>
      <w:pPr>
        <w:pStyle w:val="ListBullet"/>
        <w:spacing w:line="240" w:lineRule="auto" w:before="0" w:after="20"/>
        <w:ind w:left="340" w:hanging="198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использование организационных и технических мер защиты, соответствующих характеру обрабатываемых данных;</w:t>
      </w:r>
    </w:p>
    <w:p>
      <w:pPr>
        <w:pStyle w:val="ListBullet"/>
        <w:spacing w:line="240" w:lineRule="auto" w:before="0" w:after="20"/>
        <w:ind w:left="340" w:hanging="198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контроль доступа к учетным записям, электронным документам, мессенджерам, почте и рабочим устройствам;</w:t>
      </w:r>
    </w:p>
    <w:p>
      <w:pPr>
        <w:pStyle w:val="ListBullet"/>
        <w:spacing w:line="240" w:lineRule="auto" w:before="0" w:after="20"/>
        <w:ind w:left="340" w:hanging="198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обучение и информирование лиц, допущенных к обработке персональных данных;</w:t>
      </w:r>
    </w:p>
    <w:p>
      <w:pPr>
        <w:pStyle w:val="ListBullet"/>
        <w:spacing w:line="240" w:lineRule="auto" w:before="0" w:after="20"/>
        <w:ind w:left="340" w:hanging="198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внутренний контроль соблюдения требований законодательства и настоящей Политики;</w:t>
      </w:r>
    </w:p>
    <w:p>
      <w:pPr>
        <w:pStyle w:val="ListBullet"/>
        <w:spacing w:line="240" w:lineRule="auto" w:before="0" w:after="20"/>
        <w:ind w:left="340" w:hanging="198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принятие мер по выявлению, предупреждению и устранению последствий возможных нарушений.</w:t>
      </w:r>
    </w:p>
    <w:p>
      <w:pPr>
        <w:spacing w:line="240" w:lineRule="auto" w:before="120" w:after="40"/>
        <w:jc w:val="left"/>
      </w:pPr>
      <w:r>
        <w:rPr>
          <w:rFonts w:ascii="Times New Roman" w:hAnsi="Times New Roman" w:eastAsia="Times New Roman"/>
          <w:b/>
          <w:i w:val="0"/>
          <w:sz w:val="24"/>
        </w:rPr>
        <w:t>15. Персональные данные, полученные от клиентов и контрагентов</w:t>
      </w:r>
    </w:p>
    <w:p>
      <w:pPr>
        <w:spacing w:line="240" w:lineRule="auto" w:before="0" w:after="20"/>
        <w:ind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1. Если клиент, контрагент или его представитель передает Оператору персональные данные третьих лиц, включая водителей, сотрудников, представителей, перевозчиков и иных лиц, такой клиент или контрагент подтверждает наличие законного основания для передачи этих данных Оператору.</w:t>
      </w:r>
    </w:p>
    <w:p>
      <w:pPr>
        <w:spacing w:line="240" w:lineRule="auto" w:before="0" w:after="20"/>
        <w:ind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2. Клиент или контрагент обязан уведомить соответствующих лиц о передаче их персональных данных Оператору, целях обработки, категориях данных и правах субъектов персональных данных, если такая обязанность лежит на передающем лице.</w:t>
      </w:r>
    </w:p>
    <w:p>
      <w:pPr>
        <w:spacing w:line="240" w:lineRule="auto" w:before="0" w:after="20"/>
        <w:ind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3. Оператор вправе отказать в обработке документов или приостановить оказание услуг, если передача персональных данных нарушает законодательство или создает существенный риск для Оператора.</w:t>
      </w:r>
    </w:p>
    <w:p>
      <w:pPr>
        <w:spacing w:line="240" w:lineRule="auto" w:before="120" w:after="40"/>
        <w:jc w:val="left"/>
      </w:pPr>
      <w:r>
        <w:rPr>
          <w:rFonts w:ascii="Times New Roman" w:hAnsi="Times New Roman" w:eastAsia="Times New Roman"/>
          <w:b/>
          <w:i w:val="0"/>
          <w:sz w:val="24"/>
        </w:rPr>
        <w:t>16. Изменение Политики</w:t>
      </w:r>
    </w:p>
    <w:p>
      <w:pPr>
        <w:spacing w:line="240" w:lineRule="auto" w:before="0" w:after="20"/>
        <w:ind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1. Оператор вправе изменять настоящую Политику при изменении законодательства, процессов обработки персональных данных, структуры сайта, используемых сервисов или каналов связи.</w:t>
      </w:r>
    </w:p>
    <w:p>
      <w:pPr>
        <w:spacing w:line="240" w:lineRule="auto" w:before="0" w:after="20"/>
        <w:ind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2. Актуальная редакция Политики размещается на сайте Оператора. Новая редакция применяется с даты ее публикации, если в ней не указано иное.</w:t>
      </w:r>
    </w:p>
    <w:p>
      <w:pPr>
        <w:spacing w:line="240" w:lineRule="auto" w:before="0" w:after="20"/>
        <w:ind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3. Продолжение использования сайта и сервисов Оператора после публикации новой редакции Политики означает ознакомление пользователя с новой редакцией, если иное не предусмотрено законом.</w:t>
      </w:r>
    </w:p>
    <w:p>
      <w:pPr>
        <w:spacing w:line="240" w:lineRule="auto" w:before="120" w:after="40"/>
        <w:jc w:val="left"/>
      </w:pPr>
      <w:r>
        <w:rPr>
          <w:rFonts w:ascii="Times New Roman" w:hAnsi="Times New Roman" w:eastAsia="Times New Roman"/>
          <w:b/>
          <w:i w:val="0"/>
          <w:sz w:val="24"/>
        </w:rPr>
        <w:t>17. Реквизиты Оператора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5"/>
        <w:gridCol w:w="5185"/>
      </w:tblGrid>
      <w:tr>
        <w:trPr>
          <w:tblHeader w:val="true"/>
        </w:trPr>
        <w:tc>
          <w:tcPr>
            <w:tcW w:type="dxa" w:w="5185"/>
            <w:shd w:fill="D9EAF7"/>
            <w:vAlign w:val="center"/>
            <w:tcW w:w="2381" w:type="dxa"/>
          </w:tcPr>
          <w:p>
            <w:pPr>
              <w:spacing w:line="240" w:lineRule="auto" w:before="0" w:after="2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Поле</w:t>
            </w:r>
          </w:p>
        </w:tc>
        <w:tc>
          <w:tcPr>
            <w:tcW w:type="dxa" w:w="5185"/>
            <w:shd w:fill="D9EAF7"/>
            <w:vAlign w:val="center"/>
            <w:tcW w:w="6350" w:type="dxa"/>
          </w:tcPr>
          <w:p>
            <w:pPr>
              <w:spacing w:line="240" w:lineRule="auto" w:before="0" w:after="2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Сведения</w:t>
            </w:r>
          </w:p>
        </w:tc>
      </w:tr>
      <w:tr>
        <w:tc>
          <w:tcPr>
            <w:tcW w:type="dxa" w:w="5185"/>
            <w:vAlign w:val="center"/>
            <w:tcW w:w="2381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Оператор</w:t>
            </w:r>
          </w:p>
        </w:tc>
        <w:tc>
          <w:tcPr>
            <w:tcW w:type="dxa" w:w="5185"/>
            <w:vAlign w:val="center"/>
            <w:tcW w:w="6350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Индивидуальный предприниматель Семыкин Виталий Александрович</w:t>
            </w:r>
          </w:p>
        </w:tc>
      </w:tr>
      <w:tr>
        <w:tc>
          <w:tcPr>
            <w:tcW w:type="dxa" w:w="5185"/>
            <w:vAlign w:val="center"/>
            <w:tcW w:w="2381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ОГРНИП</w:t>
            </w:r>
          </w:p>
        </w:tc>
        <w:tc>
          <w:tcPr>
            <w:tcW w:type="dxa" w:w="5185"/>
            <w:vAlign w:val="center"/>
            <w:tcW w:w="6350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321463200020062</w:t>
            </w:r>
          </w:p>
        </w:tc>
      </w:tr>
      <w:tr>
        <w:tc>
          <w:tcPr>
            <w:tcW w:type="dxa" w:w="5185"/>
            <w:vAlign w:val="center"/>
            <w:tcW w:w="2381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ИНН</w:t>
            </w:r>
          </w:p>
        </w:tc>
        <w:tc>
          <w:tcPr>
            <w:tcW w:type="dxa" w:w="5185"/>
            <w:vAlign w:val="center"/>
            <w:tcW w:w="6350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463404749424</w:t>
            </w:r>
          </w:p>
        </w:tc>
      </w:tr>
      <w:tr>
        <w:tc>
          <w:tcPr>
            <w:tcW w:type="dxa" w:w="5185"/>
            <w:vAlign w:val="center"/>
            <w:tcW w:w="2381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Адрес склада / контактный адрес</w:t>
            </w:r>
          </w:p>
        </w:tc>
        <w:tc>
          <w:tcPr>
            <w:tcW w:type="dxa" w:w="5185"/>
            <w:vAlign w:val="center"/>
            <w:tcW w:w="6350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Московская область, Ленинский городской округ, поселок городского типа Молоково, Революционная улица, 35Д</w:t>
            </w:r>
          </w:p>
        </w:tc>
      </w:tr>
      <w:tr>
        <w:tc>
          <w:tcPr>
            <w:tcW w:type="dxa" w:w="5185"/>
            <w:vAlign w:val="center"/>
            <w:tcW w:w="2381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Телефон</w:t>
            </w:r>
          </w:p>
        </w:tc>
        <w:tc>
          <w:tcPr>
            <w:tcW w:type="dxa" w:w="5185"/>
            <w:vAlign w:val="center"/>
            <w:tcW w:w="6350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+7 995 905-66-59</w:t>
            </w:r>
          </w:p>
        </w:tc>
      </w:tr>
      <w:tr>
        <w:tc>
          <w:tcPr>
            <w:tcW w:type="dxa" w:w="5185"/>
            <w:vAlign w:val="center"/>
            <w:tcW w:w="2381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Email</w:t>
            </w:r>
          </w:p>
        </w:tc>
        <w:tc>
          <w:tcPr>
            <w:tcW w:type="dxa" w:w="5185"/>
            <w:vAlign w:val="center"/>
            <w:tcW w:w="6350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order@3-pl.ru</w:t>
            </w:r>
          </w:p>
        </w:tc>
      </w:tr>
      <w:tr>
        <w:tc>
          <w:tcPr>
            <w:tcW w:type="dxa" w:w="5185"/>
            <w:vAlign w:val="center"/>
            <w:tcW w:w="2381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Сайт</w:t>
            </w:r>
          </w:p>
        </w:tc>
        <w:tc>
          <w:tcPr>
            <w:tcW w:type="dxa" w:w="5185"/>
            <w:vAlign w:val="center"/>
            <w:tcW w:w="6350" w:type="dxa"/>
          </w:tcPr>
          <w:p>
            <w:pPr>
              <w:spacing w:after="20" w:line="240" w:lineRule="auto" w:befor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3-pl.ru</w:t>
            </w:r>
          </w:p>
        </w:tc>
      </w:tr>
    </w:tbl>
    <w:p>
      <w:pPr>
        <w:spacing w:line="240" w:lineRule="auto" w:before="0" w:after="20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br w:type="page"/>
      </w:r>
    </w:p>
    <w:p>
      <w:pPr>
        <w:spacing w:line="240" w:lineRule="auto" w:before="160" w:after="40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ПРИЛОЖЕНИЕ. РЕКОМЕНДУЕМЫЕ ТЕКСТЫ ДЛЯ САЙТА</w:t>
      </w:r>
    </w:p>
    <w:p>
      <w:pPr>
        <w:spacing w:line="240" w:lineRule="auto" w:before="0" w:after="2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эти тексты размещаются на сайте отдельно от настоящей Политики</w:t>
      </w:r>
    </w:p>
    <w:p>
      <w:pPr>
        <w:spacing w:line="240" w:lineRule="auto" w:before="120" w:after="40"/>
        <w:jc w:val="left"/>
      </w:pPr>
      <w:r>
        <w:rPr>
          <w:rFonts w:ascii="Times New Roman" w:hAnsi="Times New Roman" w:eastAsia="Times New Roman"/>
          <w:b/>
          <w:i w:val="0"/>
          <w:sz w:val="24"/>
        </w:rPr>
        <w:t>1. Текст под формами, где пользователь сам вводит данные</w:t>
      </w:r>
    </w:p>
    <w:p>
      <w:pPr>
        <w:spacing w:line="240" w:lineRule="auto" w:before="0" w:after="2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Рекомендуемый текст:</w:t>
      </w:r>
    </w:p>
    <w:p>
      <w:pPr>
        <w:spacing w:line="240" w:lineRule="auto" w:before="0" w:after="2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«Нажимая кнопку, вы подтверждаете, что ознакомлены с Политикой обработки персональных данных и даете согласие на обработку персональных данных для связи, расчета стоимости, обработки заявки и исполнения договора/заявки.»</w:t>
      </w:r>
    </w:p>
    <w:p>
      <w:pPr>
        <w:spacing w:line="240" w:lineRule="auto" w:before="0" w:after="2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Важно: чекбокс согласия должен быть отдельным, не проставленным заранее, с активной ссылкой на Политику. Размещайте его под каждой формой, где пользователь вводит телефон, email, имя, комментарий или прикрепляет документы: форма обратной связи, форма расчета стоимости, форма заявки, форма обратного звонка, форма загрузки Шаблона приемки/ТЗ. Если на той же форме есть согласие с договором-офертой или согласие на рассылку, для них нужны отдельные чекбоксы.</w:t>
      </w:r>
    </w:p>
    <w:p>
      <w:pPr>
        <w:spacing w:line="240" w:lineRule="auto" w:before="120" w:after="40"/>
        <w:jc w:val="left"/>
      </w:pPr>
      <w:r>
        <w:rPr>
          <w:rFonts w:ascii="Times New Roman" w:hAnsi="Times New Roman" w:eastAsia="Times New Roman"/>
          <w:b/>
          <w:i w:val="0"/>
          <w:sz w:val="24"/>
        </w:rPr>
        <w:t>2. Текст для cookies</w:t>
      </w:r>
    </w:p>
    <w:p>
      <w:pPr>
        <w:spacing w:line="240" w:lineRule="auto" w:before="0" w:after="2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«Мы используем cookies и технические данные для работы сайта, аналитики и улучшения сервиса. Продолжая использовать сайт или нажимая “Принять”, вы соглашаетесь на обработку cookies в соответствии с Политикой обработки персональных данных.»</w:t>
      </w:r>
    </w:p>
    <w:p>
      <w:pPr>
        <w:spacing w:line="240" w:lineRule="auto" w:before="120" w:after="40"/>
        <w:jc w:val="left"/>
      </w:pPr>
      <w:r>
        <w:rPr>
          <w:rFonts w:ascii="Times New Roman" w:hAnsi="Times New Roman" w:eastAsia="Times New Roman"/>
          <w:b/>
          <w:i w:val="0"/>
          <w:sz w:val="24"/>
        </w:rPr>
        <w:t>3. Текст для входа на склад / зоны видеонаблюдения</w:t>
      </w:r>
    </w:p>
    <w:p>
      <w:pPr>
        <w:spacing w:line="240" w:lineRule="auto" w:before="0" w:after="2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«На территории склада ведется фото- и видеофиксация в целях безопасности, приемки товара, контроля качества услуг и разрешения претензий. Информация об обработке персональных данных размещена в Политике обработки персональных данных Оператора.»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850" w:right="850" w:bottom="850" w:left="85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60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6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 w:eastAsia="Times New Roman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